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42" w:rsidRDefault="005F6B3F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хозяйственных обществ </w:t>
      </w:r>
      <w:r w:rsidR="00514E42">
        <w:rPr>
          <w:b/>
          <w:sz w:val="24"/>
          <w:szCs w:val="24"/>
        </w:rPr>
        <w:t xml:space="preserve">с долей государственной  собственности </w:t>
      </w:r>
    </w:p>
    <w:p w:rsidR="00514E42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Кабардино-Балкарской Республики в уставном капитале 50 и более процентов </w:t>
      </w:r>
    </w:p>
    <w:p w:rsidR="00F7423F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7423F">
        <w:rPr>
          <w:b/>
          <w:sz w:val="24"/>
          <w:szCs w:val="24"/>
        </w:rPr>
        <w:t xml:space="preserve"> основными показателями деятельности</w:t>
      </w:r>
      <w:r>
        <w:rPr>
          <w:b/>
          <w:sz w:val="24"/>
          <w:szCs w:val="24"/>
        </w:rPr>
        <w:t xml:space="preserve"> </w:t>
      </w:r>
      <w:r w:rsidR="003874EE">
        <w:rPr>
          <w:b/>
          <w:sz w:val="24"/>
          <w:szCs w:val="24"/>
        </w:rPr>
        <w:t xml:space="preserve">по состоянию на </w:t>
      </w:r>
      <w:r w:rsidR="00760175">
        <w:rPr>
          <w:b/>
          <w:sz w:val="24"/>
          <w:szCs w:val="24"/>
        </w:rPr>
        <w:t>31.</w:t>
      </w:r>
      <w:r w:rsidR="008B4DC3">
        <w:rPr>
          <w:b/>
          <w:sz w:val="24"/>
          <w:szCs w:val="24"/>
        </w:rPr>
        <w:t>03.2021</w:t>
      </w:r>
    </w:p>
    <w:p w:rsidR="006248A8" w:rsidRDefault="006248A8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tbl>
      <w:tblPr>
        <w:tblStyle w:val="ae"/>
        <w:tblW w:w="15311" w:type="dxa"/>
        <w:tblInd w:w="-176" w:type="dxa"/>
        <w:tblLook w:val="04A0" w:firstRow="1" w:lastRow="0" w:firstColumn="1" w:lastColumn="0" w:noHBand="0" w:noVBand="1"/>
      </w:tblPr>
      <w:tblGrid>
        <w:gridCol w:w="516"/>
        <w:gridCol w:w="6856"/>
        <w:gridCol w:w="1276"/>
        <w:gridCol w:w="2552"/>
        <w:gridCol w:w="1573"/>
        <w:gridCol w:w="2538"/>
      </w:tblGrid>
      <w:tr w:rsidR="00476924" w:rsidTr="00B867ED">
        <w:tc>
          <w:tcPr>
            <w:tcW w:w="0" w:type="auto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Доля КБР, %</w:t>
            </w:r>
          </w:p>
        </w:tc>
        <w:tc>
          <w:tcPr>
            <w:tcW w:w="2552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Величина активов,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 тыс. рублей</w:t>
            </w:r>
          </w:p>
        </w:tc>
        <w:tc>
          <w:tcPr>
            <w:tcW w:w="1573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Выручка, тыс. рублей</w:t>
            </w:r>
          </w:p>
        </w:tc>
        <w:tc>
          <w:tcPr>
            <w:tcW w:w="253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Прибыль (убытки), тыс. рублей</w:t>
            </w:r>
          </w:p>
        </w:tc>
      </w:tr>
      <w:tr w:rsidR="00476924" w:rsidTr="00B867ED">
        <w:tc>
          <w:tcPr>
            <w:tcW w:w="15311" w:type="dxa"/>
            <w:gridSpan w:val="6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осуществляющие финансово-хозяйственную деятельность</w:t>
            </w:r>
          </w:p>
        </w:tc>
      </w:tr>
      <w:tr w:rsidR="00760175" w:rsidRPr="00F7423F" w:rsidTr="00B867ED">
        <w:tc>
          <w:tcPr>
            <w:tcW w:w="0" w:type="auto"/>
          </w:tcPr>
          <w:p w:rsidR="00760175" w:rsidRPr="00F7423F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5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«ТоргСеть»</w:t>
            </w:r>
          </w:p>
        </w:tc>
        <w:tc>
          <w:tcPr>
            <w:tcW w:w="127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760175" w:rsidRPr="00476924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8019</w:t>
            </w:r>
          </w:p>
        </w:tc>
        <w:tc>
          <w:tcPr>
            <w:tcW w:w="1573" w:type="dxa"/>
          </w:tcPr>
          <w:p w:rsidR="00760175" w:rsidRPr="00926D81" w:rsidRDefault="006E637F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</w:t>
            </w:r>
          </w:p>
        </w:tc>
        <w:tc>
          <w:tcPr>
            <w:tcW w:w="2538" w:type="dxa"/>
          </w:tcPr>
          <w:p w:rsidR="00760175" w:rsidRPr="00926D81" w:rsidRDefault="006E637F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</w:tr>
      <w:tr w:rsidR="00760175" w:rsidRPr="00F7423F" w:rsidTr="006E637F">
        <w:trPr>
          <w:trHeight w:val="179"/>
        </w:trPr>
        <w:tc>
          <w:tcPr>
            <w:tcW w:w="0" w:type="auto"/>
          </w:tcPr>
          <w:p w:rsidR="00760175" w:rsidRPr="00F7423F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56" w:type="dxa"/>
          </w:tcPr>
          <w:p w:rsidR="00760175" w:rsidRPr="00476924" w:rsidRDefault="00760175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«Кабардино-Балкарская республиканская ипотечная корпорация»</w:t>
            </w:r>
          </w:p>
        </w:tc>
        <w:tc>
          <w:tcPr>
            <w:tcW w:w="127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760175" w:rsidRPr="00926D81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E637F">
              <w:rPr>
                <w:sz w:val="24"/>
                <w:szCs w:val="24"/>
              </w:rPr>
              <w:t>189561</w:t>
            </w:r>
          </w:p>
        </w:tc>
        <w:tc>
          <w:tcPr>
            <w:tcW w:w="1573" w:type="dxa"/>
          </w:tcPr>
          <w:p w:rsidR="00760175" w:rsidRPr="00926D81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5491</w:t>
            </w:r>
          </w:p>
        </w:tc>
        <w:tc>
          <w:tcPr>
            <w:tcW w:w="2538" w:type="dxa"/>
          </w:tcPr>
          <w:p w:rsidR="00760175" w:rsidRPr="00926D81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637F" w:rsidRPr="00F7423F" w:rsidTr="00B867ED">
        <w:tc>
          <w:tcPr>
            <w:tcW w:w="0" w:type="auto"/>
          </w:tcPr>
          <w:p w:rsidR="006E637F" w:rsidRPr="00F7423F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56" w:type="dxa"/>
          </w:tcPr>
          <w:p w:rsidR="006E637F" w:rsidRPr="00476924" w:rsidRDefault="006E637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«Теплосервис»</w:t>
            </w:r>
          </w:p>
        </w:tc>
        <w:tc>
          <w:tcPr>
            <w:tcW w:w="1276" w:type="dxa"/>
          </w:tcPr>
          <w:p w:rsidR="006E637F" w:rsidRPr="00476924" w:rsidRDefault="006E637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E637F" w:rsidRPr="00B867ED" w:rsidRDefault="006E637F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465086</w:t>
            </w:r>
          </w:p>
        </w:tc>
        <w:tc>
          <w:tcPr>
            <w:tcW w:w="1573" w:type="dxa"/>
          </w:tcPr>
          <w:p w:rsidR="006E637F" w:rsidRPr="00B867ED" w:rsidRDefault="006E637F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18199</w:t>
            </w:r>
          </w:p>
        </w:tc>
        <w:tc>
          <w:tcPr>
            <w:tcW w:w="2538" w:type="dxa"/>
          </w:tcPr>
          <w:p w:rsidR="006E637F" w:rsidRPr="00B867ED" w:rsidRDefault="006E637F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-1992</w:t>
            </w:r>
          </w:p>
        </w:tc>
      </w:tr>
      <w:tr w:rsidR="006E637F" w:rsidRPr="00F7423F" w:rsidTr="00B867ED">
        <w:tc>
          <w:tcPr>
            <w:tcW w:w="0" w:type="auto"/>
          </w:tcPr>
          <w:p w:rsidR="006E637F" w:rsidRPr="00F7423F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56" w:type="dxa"/>
          </w:tcPr>
          <w:p w:rsidR="006E637F" w:rsidRPr="00476924" w:rsidRDefault="006E637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«Корпорация развития Кабардино-Балкарской Республики»</w:t>
            </w:r>
          </w:p>
        </w:tc>
        <w:tc>
          <w:tcPr>
            <w:tcW w:w="1276" w:type="dxa"/>
          </w:tcPr>
          <w:p w:rsidR="006E637F" w:rsidRPr="00476924" w:rsidRDefault="006E637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E637F" w:rsidRPr="00926D81" w:rsidRDefault="007B095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7B0954">
              <w:rPr>
                <w:sz w:val="24"/>
                <w:szCs w:val="24"/>
              </w:rPr>
              <w:t>1464150</w:t>
            </w:r>
          </w:p>
        </w:tc>
        <w:tc>
          <w:tcPr>
            <w:tcW w:w="1573" w:type="dxa"/>
          </w:tcPr>
          <w:p w:rsidR="006E637F" w:rsidRPr="00926D81" w:rsidRDefault="007B095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10189</w:t>
            </w:r>
          </w:p>
        </w:tc>
        <w:tc>
          <w:tcPr>
            <w:tcW w:w="2538" w:type="dxa"/>
          </w:tcPr>
          <w:p w:rsidR="006E637F" w:rsidRPr="00926D81" w:rsidRDefault="007B095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</w:t>
            </w:r>
          </w:p>
        </w:tc>
      </w:tr>
      <w:tr w:rsidR="006E637F" w:rsidRPr="00354922" w:rsidTr="00B867ED">
        <w:tc>
          <w:tcPr>
            <w:tcW w:w="0" w:type="auto"/>
          </w:tcPr>
          <w:p w:rsidR="006E637F" w:rsidRPr="00F7423F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56" w:type="dxa"/>
          </w:tcPr>
          <w:p w:rsidR="006E637F" w:rsidRPr="00476924" w:rsidRDefault="006E637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«Центр охраны труда»</w:t>
            </w:r>
          </w:p>
        </w:tc>
        <w:tc>
          <w:tcPr>
            <w:tcW w:w="1276" w:type="dxa"/>
          </w:tcPr>
          <w:p w:rsidR="006E637F" w:rsidRPr="00476924" w:rsidRDefault="006E637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E637F" w:rsidRPr="00926D81" w:rsidRDefault="009352C2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73" w:type="dxa"/>
          </w:tcPr>
          <w:p w:rsidR="006E637F" w:rsidRPr="00926D81" w:rsidRDefault="009352C2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538" w:type="dxa"/>
          </w:tcPr>
          <w:p w:rsidR="006E637F" w:rsidRPr="00926D81" w:rsidRDefault="009352C2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E637F" w:rsidRPr="00F7423F" w:rsidTr="00B867ED">
        <w:tc>
          <w:tcPr>
            <w:tcW w:w="0" w:type="auto"/>
          </w:tcPr>
          <w:p w:rsidR="006E637F" w:rsidRPr="00F7423F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56" w:type="dxa"/>
          </w:tcPr>
          <w:p w:rsidR="006E637F" w:rsidRPr="00476924" w:rsidRDefault="006E637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«Пансионат «Вольфрам»</w:t>
            </w:r>
          </w:p>
        </w:tc>
        <w:tc>
          <w:tcPr>
            <w:tcW w:w="1276" w:type="dxa"/>
          </w:tcPr>
          <w:p w:rsidR="006E637F" w:rsidRPr="00476924" w:rsidRDefault="006E637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E637F" w:rsidRPr="004A3CD9" w:rsidRDefault="007B095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17172</w:t>
            </w:r>
          </w:p>
        </w:tc>
        <w:tc>
          <w:tcPr>
            <w:tcW w:w="1573" w:type="dxa"/>
          </w:tcPr>
          <w:p w:rsidR="006E637F" w:rsidRPr="00926D81" w:rsidRDefault="007B095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9138</w:t>
            </w:r>
          </w:p>
        </w:tc>
        <w:tc>
          <w:tcPr>
            <w:tcW w:w="2538" w:type="dxa"/>
          </w:tcPr>
          <w:p w:rsidR="006E637F" w:rsidRPr="00926D81" w:rsidRDefault="007B095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</w:tr>
      <w:tr w:rsidR="006E637F" w:rsidRPr="00F7423F" w:rsidTr="00B867ED">
        <w:tc>
          <w:tcPr>
            <w:tcW w:w="0" w:type="auto"/>
          </w:tcPr>
          <w:p w:rsidR="006E637F" w:rsidRPr="00F7423F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56" w:type="dxa"/>
          </w:tcPr>
          <w:p w:rsidR="006E637F" w:rsidRPr="00476924" w:rsidRDefault="006E637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«Каббалкальпинист»</w:t>
            </w:r>
          </w:p>
        </w:tc>
        <w:tc>
          <w:tcPr>
            <w:tcW w:w="1276" w:type="dxa"/>
          </w:tcPr>
          <w:p w:rsidR="006E637F" w:rsidRPr="00476924" w:rsidRDefault="006E637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552" w:type="dxa"/>
          </w:tcPr>
          <w:p w:rsidR="006E637F" w:rsidRPr="004A3CD9" w:rsidRDefault="007B095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5808</w:t>
            </w:r>
          </w:p>
        </w:tc>
        <w:tc>
          <w:tcPr>
            <w:tcW w:w="1573" w:type="dxa"/>
          </w:tcPr>
          <w:p w:rsidR="006E637F" w:rsidRPr="00926D81" w:rsidRDefault="007B095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</w:t>
            </w:r>
          </w:p>
        </w:tc>
        <w:tc>
          <w:tcPr>
            <w:tcW w:w="2538" w:type="dxa"/>
          </w:tcPr>
          <w:p w:rsidR="006E637F" w:rsidRPr="00926D81" w:rsidRDefault="007B095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-109</w:t>
            </w:r>
          </w:p>
        </w:tc>
      </w:tr>
      <w:tr w:rsidR="006E637F" w:rsidRPr="00F7423F" w:rsidTr="00B867ED">
        <w:trPr>
          <w:trHeight w:val="181"/>
        </w:trPr>
        <w:tc>
          <w:tcPr>
            <w:tcW w:w="0" w:type="auto"/>
          </w:tcPr>
          <w:p w:rsidR="006E637F" w:rsidRPr="00F7423F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56" w:type="dxa"/>
          </w:tcPr>
          <w:p w:rsidR="006E637F" w:rsidRPr="00476924" w:rsidRDefault="006E637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«Курорт «Нальчик»</w:t>
            </w:r>
          </w:p>
        </w:tc>
        <w:tc>
          <w:tcPr>
            <w:tcW w:w="1276" w:type="dxa"/>
          </w:tcPr>
          <w:p w:rsidR="006E637F" w:rsidRPr="00476924" w:rsidRDefault="006E637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552" w:type="dxa"/>
          </w:tcPr>
          <w:p w:rsidR="006E637F" w:rsidRPr="004A3CD9" w:rsidRDefault="007B095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7B0954">
              <w:rPr>
                <w:sz w:val="24"/>
                <w:szCs w:val="24"/>
              </w:rPr>
              <w:t>426954</w:t>
            </w:r>
          </w:p>
        </w:tc>
        <w:tc>
          <w:tcPr>
            <w:tcW w:w="1573" w:type="dxa"/>
          </w:tcPr>
          <w:p w:rsidR="006E637F" w:rsidRPr="00926D81" w:rsidRDefault="007B095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5521</w:t>
            </w:r>
          </w:p>
        </w:tc>
        <w:tc>
          <w:tcPr>
            <w:tcW w:w="2538" w:type="dxa"/>
          </w:tcPr>
          <w:p w:rsidR="006E637F" w:rsidRPr="00926D81" w:rsidRDefault="007B095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-172</w:t>
            </w:r>
          </w:p>
        </w:tc>
      </w:tr>
      <w:tr w:rsidR="006E637F" w:rsidRPr="00F7423F" w:rsidTr="00B867ED">
        <w:tc>
          <w:tcPr>
            <w:tcW w:w="0" w:type="auto"/>
          </w:tcPr>
          <w:p w:rsidR="006E637F" w:rsidRPr="00F7423F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56" w:type="dxa"/>
          </w:tcPr>
          <w:p w:rsidR="006E637F" w:rsidRPr="00476924" w:rsidRDefault="006E637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«Санаторий «Чайка»</w:t>
            </w:r>
          </w:p>
        </w:tc>
        <w:tc>
          <w:tcPr>
            <w:tcW w:w="1276" w:type="dxa"/>
          </w:tcPr>
          <w:p w:rsidR="006E637F" w:rsidRPr="00476924" w:rsidRDefault="006E637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E637F" w:rsidRPr="004A3CD9" w:rsidRDefault="005C2D3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C2D35">
              <w:rPr>
                <w:sz w:val="24"/>
                <w:szCs w:val="24"/>
              </w:rPr>
              <w:t>66356</w:t>
            </w:r>
          </w:p>
        </w:tc>
        <w:tc>
          <w:tcPr>
            <w:tcW w:w="1573" w:type="dxa"/>
          </w:tcPr>
          <w:p w:rsidR="006E637F" w:rsidRPr="00926D81" w:rsidRDefault="005C2D3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9699</w:t>
            </w:r>
          </w:p>
        </w:tc>
        <w:tc>
          <w:tcPr>
            <w:tcW w:w="2538" w:type="dxa"/>
          </w:tcPr>
          <w:p w:rsidR="006E637F" w:rsidRPr="00926D81" w:rsidRDefault="005C2D3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E637F" w:rsidRPr="00F7423F" w:rsidTr="00B867ED">
        <w:tc>
          <w:tcPr>
            <w:tcW w:w="0" w:type="auto"/>
          </w:tcPr>
          <w:p w:rsidR="006E637F" w:rsidRPr="00F7423F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56" w:type="dxa"/>
          </w:tcPr>
          <w:p w:rsidR="006E637F" w:rsidRPr="00476924" w:rsidRDefault="006E637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«Эльбрустурист»</w:t>
            </w:r>
          </w:p>
        </w:tc>
        <w:tc>
          <w:tcPr>
            <w:tcW w:w="1276" w:type="dxa"/>
          </w:tcPr>
          <w:p w:rsidR="006E637F" w:rsidRPr="00476924" w:rsidRDefault="006E637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64,9</w:t>
            </w:r>
          </w:p>
        </w:tc>
        <w:tc>
          <w:tcPr>
            <w:tcW w:w="2552" w:type="dxa"/>
          </w:tcPr>
          <w:p w:rsidR="006E637F" w:rsidRPr="004A3CD9" w:rsidRDefault="005C2D3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C2D35">
              <w:rPr>
                <w:sz w:val="24"/>
                <w:szCs w:val="24"/>
              </w:rPr>
              <w:t>191926</w:t>
            </w:r>
          </w:p>
        </w:tc>
        <w:tc>
          <w:tcPr>
            <w:tcW w:w="1573" w:type="dxa"/>
          </w:tcPr>
          <w:p w:rsidR="006E637F" w:rsidRPr="00FF5FD7" w:rsidRDefault="005C2D3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14084</w:t>
            </w:r>
          </w:p>
        </w:tc>
        <w:tc>
          <w:tcPr>
            <w:tcW w:w="2538" w:type="dxa"/>
          </w:tcPr>
          <w:p w:rsidR="006E637F" w:rsidRPr="00FF5FD7" w:rsidRDefault="005C2D3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637F" w:rsidRPr="00F7423F" w:rsidTr="00B867ED">
        <w:trPr>
          <w:trHeight w:val="60"/>
        </w:trPr>
        <w:tc>
          <w:tcPr>
            <w:tcW w:w="0" w:type="auto"/>
          </w:tcPr>
          <w:p w:rsidR="006E637F" w:rsidRPr="00F7423F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56" w:type="dxa"/>
          </w:tcPr>
          <w:p w:rsidR="006E637F" w:rsidRPr="00476924" w:rsidRDefault="006E637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«Водолечебница»</w:t>
            </w:r>
          </w:p>
        </w:tc>
        <w:tc>
          <w:tcPr>
            <w:tcW w:w="1276" w:type="dxa"/>
          </w:tcPr>
          <w:p w:rsidR="006E637F" w:rsidRPr="00476924" w:rsidRDefault="006E637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E637F" w:rsidRPr="00FF5FD7" w:rsidRDefault="008B4D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8B4DC3">
              <w:rPr>
                <w:sz w:val="24"/>
                <w:szCs w:val="24"/>
              </w:rPr>
              <w:t>232093</w:t>
            </w:r>
          </w:p>
        </w:tc>
        <w:tc>
          <w:tcPr>
            <w:tcW w:w="1573" w:type="dxa"/>
          </w:tcPr>
          <w:p w:rsidR="006E637F" w:rsidRPr="00FF5FD7" w:rsidRDefault="008B4D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1266</w:t>
            </w:r>
          </w:p>
        </w:tc>
        <w:tc>
          <w:tcPr>
            <w:tcW w:w="2538" w:type="dxa"/>
          </w:tcPr>
          <w:p w:rsidR="006E637F" w:rsidRPr="00FF5FD7" w:rsidRDefault="008B4D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-1047</w:t>
            </w:r>
          </w:p>
        </w:tc>
      </w:tr>
      <w:tr w:rsidR="00616F1D" w:rsidRPr="00F7423F" w:rsidTr="00B867ED">
        <w:trPr>
          <w:trHeight w:val="60"/>
        </w:trPr>
        <w:tc>
          <w:tcPr>
            <w:tcW w:w="0" w:type="auto"/>
          </w:tcPr>
          <w:p w:rsidR="00616F1D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56" w:type="dxa"/>
          </w:tcPr>
          <w:p w:rsidR="00616F1D" w:rsidRPr="00476924" w:rsidRDefault="00616F1D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АО </w:t>
            </w:r>
            <w:r w:rsidRPr="00EB64A4">
              <w:rPr>
                <w:rFonts w:eastAsia="Calibri"/>
                <w:sz w:val="24"/>
                <w:szCs w:val="24"/>
                <w:lang w:eastAsia="en-US"/>
              </w:rPr>
              <w:t>«Гостиница «Уют»</w:t>
            </w:r>
          </w:p>
        </w:tc>
        <w:tc>
          <w:tcPr>
            <w:tcW w:w="1276" w:type="dxa"/>
          </w:tcPr>
          <w:p w:rsidR="00616F1D" w:rsidRPr="00476924" w:rsidRDefault="008B4DC3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16F1D" w:rsidRPr="00FF5FD7" w:rsidRDefault="008B4D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</w:t>
            </w:r>
          </w:p>
        </w:tc>
        <w:tc>
          <w:tcPr>
            <w:tcW w:w="1573" w:type="dxa"/>
          </w:tcPr>
          <w:p w:rsidR="00616F1D" w:rsidRPr="00FF5FD7" w:rsidRDefault="008B4D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</w:t>
            </w:r>
          </w:p>
        </w:tc>
        <w:tc>
          <w:tcPr>
            <w:tcW w:w="2538" w:type="dxa"/>
          </w:tcPr>
          <w:p w:rsidR="00616F1D" w:rsidRPr="00FF5FD7" w:rsidRDefault="008B4D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 w:rsidR="006E637F" w:rsidRPr="00F7423F" w:rsidTr="00B867ED">
        <w:tc>
          <w:tcPr>
            <w:tcW w:w="15311" w:type="dxa"/>
            <w:gridSpan w:val="6"/>
          </w:tcPr>
          <w:p w:rsidR="006E637F" w:rsidRPr="00476924" w:rsidRDefault="006E637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не осуществляющие финансово-хозяйственную деятельность</w:t>
            </w:r>
          </w:p>
        </w:tc>
      </w:tr>
      <w:tr w:rsidR="00616F1D" w:rsidRPr="00F7423F" w:rsidTr="00B867ED">
        <w:trPr>
          <w:trHeight w:val="264"/>
        </w:trPr>
        <w:tc>
          <w:tcPr>
            <w:tcW w:w="0" w:type="auto"/>
          </w:tcPr>
          <w:p w:rsidR="00616F1D" w:rsidRDefault="00616F1D" w:rsidP="007B3CE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56" w:type="dxa"/>
          </w:tcPr>
          <w:p w:rsidR="00616F1D" w:rsidRPr="00476924" w:rsidRDefault="00616F1D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«Кавказ-</w:t>
            </w:r>
            <w:proofErr w:type="spellStart"/>
            <w:r w:rsidRPr="00476924">
              <w:rPr>
                <w:sz w:val="24"/>
                <w:szCs w:val="24"/>
              </w:rPr>
              <w:t>Автосити</w:t>
            </w:r>
            <w:proofErr w:type="spellEnd"/>
            <w:r w:rsidRPr="00476924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72747</w:t>
            </w:r>
          </w:p>
        </w:tc>
        <w:tc>
          <w:tcPr>
            <w:tcW w:w="1573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16F1D" w:rsidRPr="00F7423F" w:rsidTr="00B867ED">
        <w:trPr>
          <w:trHeight w:val="264"/>
        </w:trPr>
        <w:tc>
          <w:tcPr>
            <w:tcW w:w="0" w:type="auto"/>
          </w:tcPr>
          <w:p w:rsidR="00616F1D" w:rsidRDefault="00616F1D" w:rsidP="007B3CE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56" w:type="dxa"/>
          </w:tcPr>
          <w:p w:rsidR="00616F1D" w:rsidRPr="00476924" w:rsidRDefault="00616F1D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«Общественная радиотелевизионная компания «Нальчик»</w:t>
            </w:r>
          </w:p>
        </w:tc>
        <w:tc>
          <w:tcPr>
            <w:tcW w:w="1276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16F1D" w:rsidRPr="00F7423F" w:rsidTr="00B867ED">
        <w:trPr>
          <w:trHeight w:val="264"/>
        </w:trPr>
        <w:tc>
          <w:tcPr>
            <w:tcW w:w="0" w:type="auto"/>
          </w:tcPr>
          <w:p w:rsidR="00616F1D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56" w:type="dxa"/>
          </w:tcPr>
          <w:p w:rsidR="00616F1D" w:rsidRPr="00476924" w:rsidRDefault="00616F1D" w:rsidP="00D2680A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«Республиканское ипотечное агентство» </w:t>
            </w:r>
          </w:p>
        </w:tc>
        <w:tc>
          <w:tcPr>
            <w:tcW w:w="1276" w:type="dxa"/>
          </w:tcPr>
          <w:p w:rsidR="00616F1D" w:rsidRPr="00476924" w:rsidRDefault="00616F1D" w:rsidP="00D2680A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16F1D" w:rsidRPr="00476924" w:rsidRDefault="008B4D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16F1D" w:rsidRPr="00476924" w:rsidRDefault="008B4D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16F1D" w:rsidRPr="00476924" w:rsidRDefault="008B4DC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F1D" w:rsidRPr="00F7423F" w:rsidTr="00B867ED">
        <w:trPr>
          <w:trHeight w:val="188"/>
        </w:trPr>
        <w:tc>
          <w:tcPr>
            <w:tcW w:w="15311" w:type="dxa"/>
            <w:gridSpan w:val="6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находящиеся в стадии банкротства</w:t>
            </w:r>
          </w:p>
        </w:tc>
      </w:tr>
      <w:tr w:rsidR="00616F1D" w:rsidRPr="00F7423F" w:rsidTr="00B867ED">
        <w:tc>
          <w:tcPr>
            <w:tcW w:w="0" w:type="auto"/>
          </w:tcPr>
          <w:p w:rsidR="00616F1D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56" w:type="dxa"/>
          </w:tcPr>
          <w:p w:rsidR="00616F1D" w:rsidRPr="00476924" w:rsidRDefault="00616F1D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«Теплоэнергетическая компания» </w:t>
            </w:r>
          </w:p>
        </w:tc>
        <w:tc>
          <w:tcPr>
            <w:tcW w:w="1276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16F1D" w:rsidRPr="00F7423F" w:rsidTr="00B867ED">
        <w:tc>
          <w:tcPr>
            <w:tcW w:w="0" w:type="auto"/>
          </w:tcPr>
          <w:p w:rsidR="00616F1D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856" w:type="dxa"/>
          </w:tcPr>
          <w:p w:rsidR="00616F1D" w:rsidRPr="00476924" w:rsidRDefault="00616F1D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«Канатные дороги </w:t>
            </w:r>
            <w:proofErr w:type="spellStart"/>
            <w:r w:rsidRPr="00476924">
              <w:rPr>
                <w:sz w:val="24"/>
                <w:szCs w:val="24"/>
              </w:rPr>
              <w:t>Приэльбрусья</w:t>
            </w:r>
            <w:proofErr w:type="spellEnd"/>
            <w:r w:rsidRPr="0047692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16F1D" w:rsidRPr="00F7423F" w:rsidTr="00B867ED">
        <w:tc>
          <w:tcPr>
            <w:tcW w:w="0" w:type="auto"/>
          </w:tcPr>
          <w:p w:rsidR="00616F1D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56" w:type="dxa"/>
          </w:tcPr>
          <w:p w:rsidR="00616F1D" w:rsidRPr="00476924" w:rsidRDefault="00616F1D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«Нальчикская городская электросетевая компания»</w:t>
            </w:r>
          </w:p>
        </w:tc>
        <w:tc>
          <w:tcPr>
            <w:tcW w:w="1276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16F1D" w:rsidRPr="00F7423F" w:rsidTr="00B867ED">
        <w:tc>
          <w:tcPr>
            <w:tcW w:w="0" w:type="auto"/>
          </w:tcPr>
          <w:p w:rsidR="00616F1D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56" w:type="dxa"/>
          </w:tcPr>
          <w:p w:rsidR="00616F1D" w:rsidRPr="00476924" w:rsidRDefault="00616F1D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«Кабардино-Балкарский государственный институт по проектированию и изысканиям автомобильных дорог и мостов» </w:t>
            </w:r>
          </w:p>
        </w:tc>
        <w:tc>
          <w:tcPr>
            <w:tcW w:w="1276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16F1D" w:rsidRPr="00F7423F" w:rsidTr="00B867ED">
        <w:tc>
          <w:tcPr>
            <w:tcW w:w="0" w:type="auto"/>
          </w:tcPr>
          <w:p w:rsidR="00616F1D" w:rsidRDefault="00616F1D" w:rsidP="00B867ED">
            <w:pPr>
              <w:tabs>
                <w:tab w:val="left" w:pos="5529"/>
              </w:tabs>
              <w:spacing w:line="192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56" w:type="dxa"/>
          </w:tcPr>
          <w:p w:rsidR="00616F1D" w:rsidRPr="00476924" w:rsidRDefault="00616F1D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«Профессиональный футбольный клуб «Спартак-Нальчик»</w:t>
            </w:r>
          </w:p>
        </w:tc>
        <w:tc>
          <w:tcPr>
            <w:tcW w:w="1276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94,06</w:t>
            </w:r>
          </w:p>
        </w:tc>
        <w:tc>
          <w:tcPr>
            <w:tcW w:w="2552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16F1D" w:rsidRPr="00476924" w:rsidRDefault="00616F1D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F7C15" w:rsidRDefault="005F7C15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</w:p>
    <w:p w:rsidR="00514E42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государственных предприятий Кабардино-Балкарской Республики </w:t>
      </w:r>
    </w:p>
    <w:p w:rsidR="00F7423F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основными показателями деятельности</w:t>
      </w:r>
      <w:r w:rsidR="005F6B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состоянию на</w:t>
      </w:r>
      <w:r w:rsidR="00FE2150">
        <w:rPr>
          <w:b/>
          <w:sz w:val="24"/>
          <w:szCs w:val="24"/>
        </w:rPr>
        <w:t xml:space="preserve"> </w:t>
      </w:r>
      <w:r w:rsidR="00760175">
        <w:rPr>
          <w:b/>
          <w:sz w:val="24"/>
          <w:szCs w:val="24"/>
        </w:rPr>
        <w:t>31.</w:t>
      </w:r>
      <w:r w:rsidR="008B4DC3">
        <w:rPr>
          <w:b/>
          <w:sz w:val="24"/>
          <w:szCs w:val="24"/>
        </w:rPr>
        <w:t>03.2021</w:t>
      </w:r>
    </w:p>
    <w:tbl>
      <w:tblPr>
        <w:tblStyle w:val="ae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8048"/>
        <w:gridCol w:w="2551"/>
        <w:gridCol w:w="1701"/>
        <w:gridCol w:w="2552"/>
      </w:tblGrid>
      <w:tr w:rsidR="00476924" w:rsidTr="00B867ED">
        <w:tc>
          <w:tcPr>
            <w:tcW w:w="458" w:type="dxa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Величина активов,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Выручка,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Прибыль (убытки),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</w:tr>
      <w:tr w:rsidR="00476924" w:rsidTr="00B867ED">
        <w:tc>
          <w:tcPr>
            <w:tcW w:w="15310" w:type="dxa"/>
            <w:gridSpan w:val="5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осуществляющие финансово-хозяйственную деятельность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1.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 xml:space="preserve">ГП КБР «Гидрогеологическая 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режимно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-эксплуатационная станция</w:t>
            </w:r>
          </w:p>
        </w:tc>
        <w:tc>
          <w:tcPr>
            <w:tcW w:w="2551" w:type="dxa"/>
          </w:tcPr>
          <w:p w:rsidR="00476924" w:rsidRPr="00EB64A4" w:rsidRDefault="009352C2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11781</w:t>
            </w:r>
          </w:p>
        </w:tc>
        <w:tc>
          <w:tcPr>
            <w:tcW w:w="1701" w:type="dxa"/>
          </w:tcPr>
          <w:p w:rsidR="00476924" w:rsidRPr="00EB64A4" w:rsidRDefault="009352C2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</w:t>
            </w:r>
          </w:p>
        </w:tc>
        <w:tc>
          <w:tcPr>
            <w:tcW w:w="2552" w:type="dxa"/>
          </w:tcPr>
          <w:p w:rsidR="00476924" w:rsidRPr="00EB64A4" w:rsidRDefault="009352C2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-347</w:t>
            </w:r>
          </w:p>
        </w:tc>
      </w:tr>
      <w:tr w:rsidR="00760175" w:rsidRPr="00B65562" w:rsidTr="00B867ED">
        <w:tc>
          <w:tcPr>
            <w:tcW w:w="458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2.</w:t>
            </w:r>
          </w:p>
        </w:tc>
        <w:tc>
          <w:tcPr>
            <w:tcW w:w="8048" w:type="dxa"/>
          </w:tcPr>
          <w:p w:rsidR="00760175" w:rsidRPr="00EB64A4" w:rsidRDefault="00760175" w:rsidP="001D34D2">
            <w:pPr>
              <w:tabs>
                <w:tab w:val="left" w:pos="2235"/>
              </w:tabs>
              <w:spacing w:line="19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ГУОПСХП КБР «Декоративные культуры»</w:t>
            </w:r>
          </w:p>
        </w:tc>
        <w:tc>
          <w:tcPr>
            <w:tcW w:w="2551" w:type="dxa"/>
          </w:tcPr>
          <w:p w:rsidR="00760175" w:rsidRPr="004F229B" w:rsidRDefault="00760175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097EA4">
              <w:rPr>
                <w:sz w:val="24"/>
                <w:szCs w:val="24"/>
              </w:rPr>
              <w:t>51265</w:t>
            </w:r>
          </w:p>
        </w:tc>
        <w:tc>
          <w:tcPr>
            <w:tcW w:w="1701" w:type="dxa"/>
          </w:tcPr>
          <w:p w:rsidR="00760175" w:rsidRPr="004F229B" w:rsidRDefault="00760175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2552" w:type="dxa"/>
          </w:tcPr>
          <w:p w:rsidR="00760175" w:rsidRPr="004F229B" w:rsidRDefault="009352C2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60175" w:rsidRPr="00B65562" w:rsidTr="00715700">
        <w:trPr>
          <w:trHeight w:val="125"/>
        </w:trPr>
        <w:tc>
          <w:tcPr>
            <w:tcW w:w="15310" w:type="dxa"/>
            <w:gridSpan w:val="5"/>
          </w:tcPr>
          <w:p w:rsidR="00760175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760175">
              <w:rPr>
                <w:sz w:val="24"/>
                <w:szCs w:val="24"/>
              </w:rPr>
              <w:t>Государственные предприятия, находящиеся в процессе</w:t>
            </w:r>
            <w:r>
              <w:rPr>
                <w:sz w:val="24"/>
                <w:szCs w:val="24"/>
              </w:rPr>
              <w:t xml:space="preserve"> ликвидации</w:t>
            </w:r>
          </w:p>
        </w:tc>
      </w:tr>
      <w:tr w:rsidR="00760175" w:rsidRPr="00B65562" w:rsidTr="00B867ED">
        <w:trPr>
          <w:trHeight w:val="125"/>
        </w:trPr>
        <w:tc>
          <w:tcPr>
            <w:tcW w:w="458" w:type="dxa"/>
          </w:tcPr>
          <w:p w:rsidR="00760175" w:rsidRDefault="008B4DC3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60175">
              <w:rPr>
                <w:sz w:val="24"/>
                <w:szCs w:val="24"/>
              </w:rPr>
              <w:t>.</w:t>
            </w:r>
          </w:p>
        </w:tc>
        <w:tc>
          <w:tcPr>
            <w:tcW w:w="8048" w:type="dxa"/>
          </w:tcPr>
          <w:p w:rsidR="00760175" w:rsidRPr="00EB64A4" w:rsidRDefault="00760175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«Высокогорный научно-исследовательский испытательный центр авиационной техники и вооружения»</w:t>
            </w:r>
          </w:p>
        </w:tc>
        <w:tc>
          <w:tcPr>
            <w:tcW w:w="2551" w:type="dxa"/>
          </w:tcPr>
          <w:p w:rsidR="00760175" w:rsidRPr="00B867ED" w:rsidRDefault="002F3A61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0175" w:rsidRDefault="002F3A61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60175" w:rsidRDefault="002F3A61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0175" w:rsidRPr="00B65562" w:rsidTr="00B867ED">
        <w:tc>
          <w:tcPr>
            <w:tcW w:w="15310" w:type="dxa"/>
            <w:gridSpan w:val="5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находящиеся в процессе банкротства</w:t>
            </w:r>
          </w:p>
        </w:tc>
      </w:tr>
      <w:tr w:rsidR="00760175" w:rsidRPr="00B65562" w:rsidTr="00B867ED">
        <w:tc>
          <w:tcPr>
            <w:tcW w:w="458" w:type="dxa"/>
          </w:tcPr>
          <w:p w:rsidR="00760175" w:rsidRPr="00EB64A4" w:rsidRDefault="008B4DC3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0175">
              <w:rPr>
                <w:sz w:val="24"/>
                <w:szCs w:val="24"/>
              </w:rPr>
              <w:t>.</w:t>
            </w:r>
          </w:p>
        </w:tc>
        <w:tc>
          <w:tcPr>
            <w:tcW w:w="8048" w:type="dxa"/>
          </w:tcPr>
          <w:p w:rsidR="00760175" w:rsidRPr="00EB64A4" w:rsidRDefault="00760175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Чегемэнерго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4DC3" w:rsidRPr="00B65562" w:rsidTr="00B867ED">
        <w:tc>
          <w:tcPr>
            <w:tcW w:w="458" w:type="dxa"/>
          </w:tcPr>
          <w:p w:rsidR="008B4DC3" w:rsidRDefault="008B4DC3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48" w:type="dxa"/>
          </w:tcPr>
          <w:p w:rsidR="008B4DC3" w:rsidRPr="00EB64A4" w:rsidRDefault="008B4DC3" w:rsidP="00463420">
            <w:pPr>
              <w:spacing w:line="192" w:lineRule="auto"/>
              <w:ind w:right="-108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«Учебно-тренировочная база «Мир»</w:t>
            </w:r>
          </w:p>
        </w:tc>
        <w:tc>
          <w:tcPr>
            <w:tcW w:w="2551" w:type="dxa"/>
          </w:tcPr>
          <w:p w:rsidR="008B4DC3" w:rsidRPr="00EB64A4" w:rsidRDefault="008B4DC3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4DC3" w:rsidRPr="00EB64A4" w:rsidRDefault="008B4DC3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B4DC3" w:rsidRPr="00EB64A4" w:rsidRDefault="008B4DC3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D2B5E" w:rsidRDefault="00CD2B5E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2376EF" w:rsidRPr="001E5686" w:rsidRDefault="002376EF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sectPr w:rsidR="002376EF" w:rsidRPr="001E5686" w:rsidSect="005F6B3F">
      <w:headerReference w:type="default" r:id="rId9"/>
      <w:pgSz w:w="16838" w:h="11906" w:orient="landscape"/>
      <w:pgMar w:top="426" w:right="678" w:bottom="284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0A" w:rsidRDefault="00651E0A" w:rsidP="00427ADC">
      <w:r>
        <w:separator/>
      </w:r>
    </w:p>
  </w:endnote>
  <w:endnote w:type="continuationSeparator" w:id="0">
    <w:p w:rsidR="00651E0A" w:rsidRDefault="00651E0A" w:rsidP="004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0A" w:rsidRDefault="00651E0A" w:rsidP="00427ADC">
      <w:r>
        <w:separator/>
      </w:r>
    </w:p>
  </w:footnote>
  <w:footnote w:type="continuationSeparator" w:id="0">
    <w:p w:rsidR="00651E0A" w:rsidRDefault="00651E0A" w:rsidP="0042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D8" w:rsidRPr="00427ADC" w:rsidRDefault="00F825D8">
    <w:pPr>
      <w:pStyle w:val="af0"/>
      <w:jc w:val="center"/>
      <w:rPr>
        <w:sz w:val="24"/>
        <w:szCs w:val="24"/>
      </w:rPr>
    </w:pPr>
  </w:p>
  <w:p w:rsidR="00F825D8" w:rsidRDefault="00F825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AC"/>
    <w:multiLevelType w:val="hybridMultilevel"/>
    <w:tmpl w:val="087C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96683"/>
    <w:multiLevelType w:val="hybridMultilevel"/>
    <w:tmpl w:val="F926D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8D50A71"/>
    <w:multiLevelType w:val="hybridMultilevel"/>
    <w:tmpl w:val="7340B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E6604"/>
    <w:multiLevelType w:val="multilevel"/>
    <w:tmpl w:val="263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46809"/>
    <w:multiLevelType w:val="hybridMultilevel"/>
    <w:tmpl w:val="B55AD736"/>
    <w:lvl w:ilvl="0" w:tplc="ED64CF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4208697D"/>
    <w:multiLevelType w:val="multilevel"/>
    <w:tmpl w:val="8342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25567"/>
    <w:multiLevelType w:val="hybridMultilevel"/>
    <w:tmpl w:val="FE048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D5F93"/>
    <w:multiLevelType w:val="hybridMultilevel"/>
    <w:tmpl w:val="A2B815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63155A73"/>
    <w:multiLevelType w:val="hybridMultilevel"/>
    <w:tmpl w:val="8342F114"/>
    <w:lvl w:ilvl="0" w:tplc="5008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F7307"/>
    <w:multiLevelType w:val="hybridMultilevel"/>
    <w:tmpl w:val="0F3267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6D813604"/>
    <w:multiLevelType w:val="multilevel"/>
    <w:tmpl w:val="0F32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3"/>
    <w:rsid w:val="00011217"/>
    <w:rsid w:val="000137A7"/>
    <w:rsid w:val="00021CFC"/>
    <w:rsid w:val="000355F4"/>
    <w:rsid w:val="000362CA"/>
    <w:rsid w:val="00051776"/>
    <w:rsid w:val="00053A5B"/>
    <w:rsid w:val="00055890"/>
    <w:rsid w:val="00071A20"/>
    <w:rsid w:val="0008239C"/>
    <w:rsid w:val="00093CD7"/>
    <w:rsid w:val="0009406F"/>
    <w:rsid w:val="00097EA4"/>
    <w:rsid w:val="000A1021"/>
    <w:rsid w:val="000B4DC9"/>
    <w:rsid w:val="000C3C45"/>
    <w:rsid w:val="000D1EDC"/>
    <w:rsid w:val="000D4C5D"/>
    <w:rsid w:val="00114F38"/>
    <w:rsid w:val="00116033"/>
    <w:rsid w:val="00144064"/>
    <w:rsid w:val="00147F88"/>
    <w:rsid w:val="0015527D"/>
    <w:rsid w:val="00162A94"/>
    <w:rsid w:val="001A0094"/>
    <w:rsid w:val="001A76EB"/>
    <w:rsid w:val="001D1E51"/>
    <w:rsid w:val="001F143D"/>
    <w:rsid w:val="00201C77"/>
    <w:rsid w:val="00210EA8"/>
    <w:rsid w:val="00224DCA"/>
    <w:rsid w:val="00226E6B"/>
    <w:rsid w:val="00235C73"/>
    <w:rsid w:val="002376EF"/>
    <w:rsid w:val="00247F8F"/>
    <w:rsid w:val="0026100C"/>
    <w:rsid w:val="00270AE7"/>
    <w:rsid w:val="002806BF"/>
    <w:rsid w:val="002A4274"/>
    <w:rsid w:val="002B66BF"/>
    <w:rsid w:val="002E19C8"/>
    <w:rsid w:val="002F3A61"/>
    <w:rsid w:val="002F500D"/>
    <w:rsid w:val="003078F9"/>
    <w:rsid w:val="00324EC3"/>
    <w:rsid w:val="00352229"/>
    <w:rsid w:val="00354922"/>
    <w:rsid w:val="0037381F"/>
    <w:rsid w:val="00375CF7"/>
    <w:rsid w:val="003874EE"/>
    <w:rsid w:val="003A4AC8"/>
    <w:rsid w:val="003A7F5A"/>
    <w:rsid w:val="003B1829"/>
    <w:rsid w:val="003D73AC"/>
    <w:rsid w:val="003F6039"/>
    <w:rsid w:val="003F70BA"/>
    <w:rsid w:val="003F71E6"/>
    <w:rsid w:val="00403B76"/>
    <w:rsid w:val="00427ADC"/>
    <w:rsid w:val="00432771"/>
    <w:rsid w:val="0043323D"/>
    <w:rsid w:val="00440F44"/>
    <w:rsid w:val="00444EBB"/>
    <w:rsid w:val="00463830"/>
    <w:rsid w:val="00466A63"/>
    <w:rsid w:val="00476924"/>
    <w:rsid w:val="00487D23"/>
    <w:rsid w:val="004A38E0"/>
    <w:rsid w:val="004A3CD9"/>
    <w:rsid w:val="004A45FD"/>
    <w:rsid w:val="004A6B05"/>
    <w:rsid w:val="004C25A0"/>
    <w:rsid w:val="004C270E"/>
    <w:rsid w:val="004C3B37"/>
    <w:rsid w:val="004C4BC8"/>
    <w:rsid w:val="004C5A79"/>
    <w:rsid w:val="004C77AD"/>
    <w:rsid w:val="004E61DE"/>
    <w:rsid w:val="004F229B"/>
    <w:rsid w:val="004F5180"/>
    <w:rsid w:val="00514E42"/>
    <w:rsid w:val="00521052"/>
    <w:rsid w:val="00523EA7"/>
    <w:rsid w:val="00531BBC"/>
    <w:rsid w:val="00541D75"/>
    <w:rsid w:val="00562E9C"/>
    <w:rsid w:val="00575574"/>
    <w:rsid w:val="0059508F"/>
    <w:rsid w:val="005B0D2D"/>
    <w:rsid w:val="005B0E24"/>
    <w:rsid w:val="005B7870"/>
    <w:rsid w:val="005C00CB"/>
    <w:rsid w:val="005C2D35"/>
    <w:rsid w:val="005C2EB2"/>
    <w:rsid w:val="005F6B3F"/>
    <w:rsid w:val="005F7A13"/>
    <w:rsid w:val="005F7C15"/>
    <w:rsid w:val="00603A04"/>
    <w:rsid w:val="0061021F"/>
    <w:rsid w:val="00613624"/>
    <w:rsid w:val="00616F1D"/>
    <w:rsid w:val="006248A8"/>
    <w:rsid w:val="00626CDE"/>
    <w:rsid w:val="00636644"/>
    <w:rsid w:val="006401F3"/>
    <w:rsid w:val="00643A84"/>
    <w:rsid w:val="00651E0A"/>
    <w:rsid w:val="0068452F"/>
    <w:rsid w:val="00684658"/>
    <w:rsid w:val="00686BAE"/>
    <w:rsid w:val="006B6B0A"/>
    <w:rsid w:val="006C494F"/>
    <w:rsid w:val="006D1902"/>
    <w:rsid w:val="006E637F"/>
    <w:rsid w:val="006F4B84"/>
    <w:rsid w:val="00707FC9"/>
    <w:rsid w:val="007226AE"/>
    <w:rsid w:val="007227D8"/>
    <w:rsid w:val="00727845"/>
    <w:rsid w:val="007517D8"/>
    <w:rsid w:val="007537B4"/>
    <w:rsid w:val="00757F2C"/>
    <w:rsid w:val="00760175"/>
    <w:rsid w:val="00766CB0"/>
    <w:rsid w:val="00797AF2"/>
    <w:rsid w:val="007B0954"/>
    <w:rsid w:val="007B2F44"/>
    <w:rsid w:val="007D1C90"/>
    <w:rsid w:val="007F0009"/>
    <w:rsid w:val="007F7F49"/>
    <w:rsid w:val="00834B14"/>
    <w:rsid w:val="00852151"/>
    <w:rsid w:val="00854B27"/>
    <w:rsid w:val="00857620"/>
    <w:rsid w:val="0086401C"/>
    <w:rsid w:val="00866983"/>
    <w:rsid w:val="00873002"/>
    <w:rsid w:val="00875C21"/>
    <w:rsid w:val="008801DE"/>
    <w:rsid w:val="00886157"/>
    <w:rsid w:val="008866BC"/>
    <w:rsid w:val="008A0080"/>
    <w:rsid w:val="008A74CD"/>
    <w:rsid w:val="008B0DD4"/>
    <w:rsid w:val="008B20ED"/>
    <w:rsid w:val="008B4DC3"/>
    <w:rsid w:val="008B58B7"/>
    <w:rsid w:val="008C6BCB"/>
    <w:rsid w:val="008D40AD"/>
    <w:rsid w:val="008E335D"/>
    <w:rsid w:val="008E415C"/>
    <w:rsid w:val="008F150F"/>
    <w:rsid w:val="00915886"/>
    <w:rsid w:val="00926D81"/>
    <w:rsid w:val="00933CB9"/>
    <w:rsid w:val="009352C2"/>
    <w:rsid w:val="0094633A"/>
    <w:rsid w:val="00951D64"/>
    <w:rsid w:val="00953489"/>
    <w:rsid w:val="00954588"/>
    <w:rsid w:val="00960CF3"/>
    <w:rsid w:val="00964B03"/>
    <w:rsid w:val="00965C2B"/>
    <w:rsid w:val="009822C5"/>
    <w:rsid w:val="00983255"/>
    <w:rsid w:val="009877DD"/>
    <w:rsid w:val="00992A63"/>
    <w:rsid w:val="009B77C5"/>
    <w:rsid w:val="009E455F"/>
    <w:rsid w:val="009F0E97"/>
    <w:rsid w:val="00A05ADA"/>
    <w:rsid w:val="00A22CDD"/>
    <w:rsid w:val="00A356C4"/>
    <w:rsid w:val="00A43067"/>
    <w:rsid w:val="00A61D29"/>
    <w:rsid w:val="00A71E5A"/>
    <w:rsid w:val="00A77EA1"/>
    <w:rsid w:val="00A80804"/>
    <w:rsid w:val="00A9146F"/>
    <w:rsid w:val="00A92801"/>
    <w:rsid w:val="00A959FC"/>
    <w:rsid w:val="00AA327E"/>
    <w:rsid w:val="00AC6A7F"/>
    <w:rsid w:val="00AD632D"/>
    <w:rsid w:val="00AD6707"/>
    <w:rsid w:val="00AE3773"/>
    <w:rsid w:val="00B00035"/>
    <w:rsid w:val="00B17E65"/>
    <w:rsid w:val="00B30DE5"/>
    <w:rsid w:val="00B62F0D"/>
    <w:rsid w:val="00B65562"/>
    <w:rsid w:val="00B67919"/>
    <w:rsid w:val="00B7039A"/>
    <w:rsid w:val="00B74CC2"/>
    <w:rsid w:val="00B81B0F"/>
    <w:rsid w:val="00B84498"/>
    <w:rsid w:val="00B8674F"/>
    <w:rsid w:val="00B867ED"/>
    <w:rsid w:val="00B96D39"/>
    <w:rsid w:val="00BA1DA9"/>
    <w:rsid w:val="00BB2A58"/>
    <w:rsid w:val="00BB5C5E"/>
    <w:rsid w:val="00BC61FE"/>
    <w:rsid w:val="00BD0580"/>
    <w:rsid w:val="00BD0A8C"/>
    <w:rsid w:val="00BE1E21"/>
    <w:rsid w:val="00BE5BBE"/>
    <w:rsid w:val="00BE7E36"/>
    <w:rsid w:val="00C0600D"/>
    <w:rsid w:val="00C20503"/>
    <w:rsid w:val="00C24F49"/>
    <w:rsid w:val="00C31C98"/>
    <w:rsid w:val="00C43C0E"/>
    <w:rsid w:val="00C53429"/>
    <w:rsid w:val="00C65434"/>
    <w:rsid w:val="00C86219"/>
    <w:rsid w:val="00C9741E"/>
    <w:rsid w:val="00CB577D"/>
    <w:rsid w:val="00CD2B5E"/>
    <w:rsid w:val="00CD5294"/>
    <w:rsid w:val="00D00BC8"/>
    <w:rsid w:val="00D07FAE"/>
    <w:rsid w:val="00D16337"/>
    <w:rsid w:val="00D2233F"/>
    <w:rsid w:val="00D24F8D"/>
    <w:rsid w:val="00D301D7"/>
    <w:rsid w:val="00D520BC"/>
    <w:rsid w:val="00D650F4"/>
    <w:rsid w:val="00D75EA0"/>
    <w:rsid w:val="00D8086F"/>
    <w:rsid w:val="00D937E5"/>
    <w:rsid w:val="00DA16A6"/>
    <w:rsid w:val="00DA6C7A"/>
    <w:rsid w:val="00DA71EF"/>
    <w:rsid w:val="00DB777E"/>
    <w:rsid w:val="00DF1AAF"/>
    <w:rsid w:val="00DF4ED9"/>
    <w:rsid w:val="00E051CA"/>
    <w:rsid w:val="00E25F7A"/>
    <w:rsid w:val="00E35726"/>
    <w:rsid w:val="00E365FA"/>
    <w:rsid w:val="00E42895"/>
    <w:rsid w:val="00E438FC"/>
    <w:rsid w:val="00E459A5"/>
    <w:rsid w:val="00E643BA"/>
    <w:rsid w:val="00E93FAD"/>
    <w:rsid w:val="00E9638C"/>
    <w:rsid w:val="00E9785C"/>
    <w:rsid w:val="00EA666C"/>
    <w:rsid w:val="00EB05E8"/>
    <w:rsid w:val="00EB64A4"/>
    <w:rsid w:val="00EC6494"/>
    <w:rsid w:val="00ED3850"/>
    <w:rsid w:val="00EE1D94"/>
    <w:rsid w:val="00EE3B90"/>
    <w:rsid w:val="00EF7133"/>
    <w:rsid w:val="00F21B79"/>
    <w:rsid w:val="00F3553E"/>
    <w:rsid w:val="00F512FA"/>
    <w:rsid w:val="00F51F05"/>
    <w:rsid w:val="00F57301"/>
    <w:rsid w:val="00F737DF"/>
    <w:rsid w:val="00F7423F"/>
    <w:rsid w:val="00F77EBC"/>
    <w:rsid w:val="00F825D8"/>
    <w:rsid w:val="00F842D1"/>
    <w:rsid w:val="00F85EA0"/>
    <w:rsid w:val="00F90634"/>
    <w:rsid w:val="00F95ECD"/>
    <w:rsid w:val="00FA6272"/>
    <w:rsid w:val="00FB5EE2"/>
    <w:rsid w:val="00FC7ADB"/>
    <w:rsid w:val="00FD73F3"/>
    <w:rsid w:val="00FE1EFD"/>
    <w:rsid w:val="00FE2150"/>
    <w:rsid w:val="00FF19A7"/>
    <w:rsid w:val="00FF4311"/>
    <w:rsid w:val="00FF5D4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281F-5D3A-49FD-8D8B-20D81DB8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zhangulanova-li</dc:creator>
  <cp:lastModifiedBy>bezhdugova-da</cp:lastModifiedBy>
  <cp:revision>128</cp:revision>
  <cp:lastPrinted>2019-08-20T14:38:00Z</cp:lastPrinted>
  <dcterms:created xsi:type="dcterms:W3CDTF">2017-10-27T13:30:00Z</dcterms:created>
  <dcterms:modified xsi:type="dcterms:W3CDTF">2021-06-29T11:33:00Z</dcterms:modified>
</cp:coreProperties>
</file>